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26">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8585" distR="118745" simplePos="0" locked="0" layoutInCell="0" allowOverlap="1" relativeHeight="34">
                <wp:simplePos x="0" y="0"/>
                <wp:positionH relativeFrom="column">
                  <wp:posOffset>5899785</wp:posOffset>
                </wp:positionH>
                <wp:positionV relativeFrom="paragraph">
                  <wp:posOffset>-593090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7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3190" simplePos="0" locked="0" layoutInCell="0" allowOverlap="1" relativeHeight="35">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7">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39">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0">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2">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4">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5"/>
        <w:gridCol w:w="7722"/>
      </w:tblGrid>
      <w:tr>
        <w:trPr/>
        <w:tc>
          <w:tcPr>
            <w:tcW w:w="1915"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2"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5"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2"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Canaux matériels DLP et hors DLP</w:t>
          <w:tab/>
          <w:t>7</w:t>
        </w:r>
      </w:hyperlink>
    </w:p>
    <w:p>
      <w:pPr>
        <w:pStyle w:val="Indexdesfigures1"/>
        <w:rPr/>
      </w:pPr>
      <w:hyperlink w:anchor="Figure!1|sequence">
        <w:r>
          <w:rPr>
            <w:rStyle w:val="Sautdindex"/>
          </w:rPr>
          <w:t>Figure 2 : Classification usuelle des méthodes d'exfiltration (selon Giani, 2006)</w:t>
          <w:tab/>
          <w:t>8</w:t>
        </w:r>
      </w:hyperlink>
    </w:p>
    <w:p>
      <w:pPr>
        <w:pStyle w:val="Indexdesfigures1"/>
        <w:rPr/>
      </w:pPr>
      <w:hyperlink w:anchor="Figure!2|sequence">
        <w:r>
          <w:rPr>
            <w:rStyle w:val="Sautdindex"/>
          </w:rPr>
          <w:t>Figure 3: Modèle général du canal caché « Covert channel » ( Carrara, 2016)</w:t>
          <w:tab/>
          <w:t>10</w:t>
        </w:r>
      </w:hyperlink>
    </w:p>
    <w:p>
      <w:pPr>
        <w:pStyle w:val="Indexdesfigures1"/>
        <w:rPr/>
      </w:pPr>
      <w:hyperlink w:anchor="Figure!3|sequence">
        <w:r>
          <w:rPr>
            <w:rStyle w:val="Sautdindex"/>
          </w:rPr>
          <w:t>Figure 4: Synthèse Acoustic and Light Covert Channel (Carrara, 2016)</w:t>
          <w:tab/>
          <w:t>11</w:t>
        </w:r>
      </w:hyperlink>
    </w:p>
    <w:p>
      <w:pPr>
        <w:pStyle w:val="Indexdesfigures1"/>
        <w:rPr/>
      </w:pPr>
      <w:hyperlink w:anchor="Figure!4|sequence">
        <w:r>
          <w:rPr>
            <w:rStyle w:val="Sautdindex"/>
          </w:rPr>
          <w:t>Figure 5: Modèles de masques (Assaad, 2019)</w:t>
          <w:tab/>
          <w:t>14</w:t>
        </w:r>
      </w:hyperlink>
    </w:p>
    <w:p>
      <w:pPr>
        <w:pStyle w:val="Indexdesfigures1"/>
        <w:rPr/>
      </w:pPr>
      <w:hyperlink w:anchor="Figure!5|sequence">
        <w:r>
          <w:rPr>
            <w:rStyle w:val="Sautdindex"/>
          </w:rPr>
          <w:t>Figure 6: Encodage et décodage d'un code QR (Tiwari, 2016)</w:t>
          <w:tab/>
          <w:t>14</w:t>
        </w:r>
      </w:hyperlink>
    </w:p>
    <w:p>
      <w:pPr>
        <w:pStyle w:val="Indexdesfigures1"/>
        <w:rPr/>
      </w:pPr>
      <w:hyperlink w:anchor="Figure!6|sequence">
        <w:r>
          <w:rPr>
            <w:rStyle w:val="Sautdindex"/>
          </w:rPr>
          <w:t>Figure 7: Structure d'un code QR (Tiwari, 2016)</w:t>
          <w:tab/>
          <w:t>15</w:t>
        </w:r>
      </w:hyperlink>
    </w:p>
    <w:p>
      <w:pPr>
        <w:pStyle w:val="Indexdesfigures1"/>
        <w:rPr/>
      </w:pPr>
      <w:hyperlink w:anchor="Figure!7|sequence">
        <w:r>
          <w:rPr>
            <w:rStyle w:val="Sautdindex"/>
          </w:rPr>
          <w:t>Figure 8: Aperçu des différentes versions de code QR (Tiwari,2016)</w:t>
          <w:tab/>
          <w:t>17</w:t>
        </w:r>
      </w:hyperlink>
    </w:p>
    <w:p>
      <w:pPr>
        <w:pStyle w:val="Indexdesfigures1"/>
        <w:rPr/>
      </w:pPr>
      <w:hyperlink w:anchor="Figure!8|sequence">
        <w:r>
          <w:rPr>
            <w:rStyle w:val="Sautdindex"/>
          </w:rPr>
          <w:t>Figure 9: Visuel des 5 types de code QRs</w:t>
          <w:tab/>
          <w:t>18</w:t>
        </w:r>
      </w:hyperlink>
    </w:p>
    <w:p>
      <w:pPr>
        <w:pStyle w:val="Indexdesfigures1"/>
        <w:rPr/>
      </w:pPr>
      <w:hyperlink w:anchor="Figure!9|sequence">
        <w:r>
          <w:rPr>
            <w:rStyle w:val="Sautdindex"/>
          </w:rPr>
          <w:t>Figure 10: Exemple de code QR « data » produit et structure des données encodées</w:t>
          <w:tab/>
          <w:t>24</w:t>
        </w:r>
      </w:hyperlink>
    </w:p>
    <w:p>
      <w:pPr>
        <w:pStyle w:val="Indexdesfigures1"/>
        <w:rPr/>
      </w:pPr>
      <w:hyperlink w:anchor="Figure!10|sequence">
        <w:r>
          <w:rPr>
            <w:rStyle w:val="Sautdindex"/>
          </w:rPr>
          <w:t>Figure 11: Exemple de code QR « ack » produit et structure des données encodées</w:t>
          <w:tab/>
          <w:t>25</w:t>
        </w:r>
      </w:hyperlink>
    </w:p>
    <w:p>
      <w:pPr>
        <w:pStyle w:val="Indexdesfigures1"/>
        <w:rPr/>
      </w:pPr>
      <w:hyperlink w:anchor="Figure!11|sequence">
        <w:r>
          <w:rPr>
            <w:rStyle w:val="Sautdindex"/>
          </w:rPr>
          <w:t>Figure 12: Diagramme de séquence du déroulement de l'exfiltration développée</w:t>
          <w:tab/>
          <w:t>26</w:t>
        </w:r>
      </w:hyperlink>
    </w:p>
    <w:p>
      <w:pPr>
        <w:pStyle w:val="Indexdesfigures1"/>
        <w:rPr/>
      </w:pPr>
      <w:hyperlink w:anchor="Figure!12|sequence">
        <w:r>
          <w:rPr>
            <w:rStyle w:val="Sautdindex"/>
          </w:rPr>
          <w:t>Figure 13: Exemple d'implémentation de contre mesure contre l'affichage de code QR</w:t>
          <w:tab/>
          <w:t>31</w:t>
        </w:r>
      </w:hyperlink>
      <w:r>
        <w:rPr>
          <w:rStyle w:val="Sautdindex"/>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Niveau de correction d'erreur et % de correction d'erreur</w:t>
          <w:tab/>
          <w:t>16</w:t>
        </w:r>
      </w:hyperlink>
    </w:p>
    <w:p>
      <w:pPr>
        <w:pStyle w:val="Indexdesfigures1"/>
        <w:rPr/>
      </w:pPr>
      <w:hyperlink w:anchor="Tableau!1|sequence">
        <w:r>
          <w:rPr>
            <w:rStyle w:val="Sautdindex"/>
          </w:rPr>
          <w:t>Tableau 2: Même information encodée dans les 4 niveaux de correction d'erreur. (admin, 2011)</w:t>
          <w:tab/>
          <w:t>16</w:t>
        </w:r>
      </w:hyperlink>
    </w:p>
    <w:p>
      <w:pPr>
        <w:pStyle w:val="Indexdesfigures1"/>
        <w:rPr/>
      </w:pPr>
      <w:hyperlink w:anchor="Tableau!2|sequence">
        <w:r>
          <w:rPr>
            <w:rStyle w:val="Sautdindex"/>
          </w:rPr>
          <w:t>Tableau 3: Capacité en datas de la version 40 du code QR en fonction du type de data et du niveau de correction d'erreur (Tiwari, 2016)</w:t>
          <w:tab/>
          <w:t>17</w:t>
        </w:r>
      </w:hyperlink>
    </w:p>
    <w:p>
      <w:pPr>
        <w:pStyle w:val="Indexdesfigures1"/>
        <w:rPr/>
      </w:pPr>
      <w:hyperlink w:anchor="Tableau!3|sequence">
        <w:r>
          <w:rPr>
            <w:rStyle w:val="Sautdindex"/>
          </w:rPr>
          <w:t>Tableau 4: Caractérisation du canal proposé selon la matrice de Carrara.</w:t>
          <w:tab/>
          <w:t>23</w:t>
        </w:r>
      </w:hyperlink>
    </w:p>
    <w:p>
      <w:pPr>
        <w:pStyle w:val="Indexdesfigures1"/>
        <w:rPr/>
      </w:pPr>
      <w:hyperlink w:anchor="Tableau!4|sequence">
        <w:r>
          <w:rPr>
            <w:rStyle w:val="Sautdindex"/>
          </w:rPr>
          <w:t>Tableau 5: Configurations matérielles et logicielles</w:t>
          <w:tab/>
          <w:t>23</w:t>
        </w:r>
      </w:hyperlink>
    </w:p>
    <w:p>
      <w:pPr>
        <w:pStyle w:val="Indexdesfigures1"/>
        <w:rPr/>
      </w:pPr>
      <w:hyperlink w:anchor="Tableau!5|sequence">
        <w:r>
          <w:rPr>
            <w:rStyle w:val="Sautdindex"/>
          </w:rPr>
          <w:t>Tableau 6: Débits moyen obtenus</w:t>
          <w:tab/>
          <w:t>28</w:t>
        </w:r>
      </w:hyperlink>
      <w:r>
        <w:rPr>
          <w:rStyle w:val="Sautdindex"/>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full"/>
                            <w:bookmarkStart w:id="30"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0"/>
                            <w:r>
                              <w:rPr>
                                <w:color w:val="000000"/>
                              </w:rPr>
                              <w:t>: Modèle général du canal caché « Covert channel » ( Carrara, 2016)</w:t>
                            </w:r>
                            <w:bookmarkEnd w:id="29"/>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full"/>
                      <w:bookmarkStart w:id="32"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2"/>
                      <w:r>
                        <w:rPr>
                          <w:color w:val="000000"/>
                        </w:rPr>
                        <w:t>: Modèle général du canal caché « Covert channel » ( Carrara, 2016)</w:t>
                      </w:r>
                      <w:bookmarkEnd w:id="31"/>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4"/>
                            <w:r>
                              <w:rPr>
                                <w:color w:val="000000"/>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5"/>
                      <w:r>
                        <w:rPr>
                          <w:color w:val="000000"/>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Commons Criteris,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w:t>
      </w:r>
      <w:r>
        <w:rPr/>
        <w:t>e</w:t>
      </w:r>
      <w:r>
        <w:rPr/>
        <w:t xml:space="preserve">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2"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p>
    <w:p>
      <w:pPr>
        <w:pStyle w:val="Corpsdetexte"/>
        <w:ind w:start="567" w:end="567" w:firstLine="567"/>
        <w:rPr>
          <w:rFonts w:ascii="Times New Roman" w:hAnsi="Times New Roman"/>
        </w:rPr>
      </w:pPr>
      <w:r>
        <w:rPr/>
        <w:t>Trois programmes utilisant le langage python constitue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49">
                <wp:simplePos x="0" y="0"/>
                <wp:positionH relativeFrom="column">
                  <wp:posOffset>635</wp:posOffset>
                </wp:positionH>
                <wp:positionV relativeFrom="line">
                  <wp:posOffset>-635</wp:posOffset>
                </wp:positionV>
                <wp:extent cx="6119495" cy="2421890"/>
                <wp:effectExtent l="635" t="0" r="0" b="0"/>
                <wp:wrapTopAndBottom/>
                <wp:docPr id="23"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28">
                <wp:simplePos x="0" y="0"/>
                <wp:positionH relativeFrom="column">
                  <wp:posOffset>-678815</wp:posOffset>
                </wp:positionH>
                <wp:positionV relativeFrom="paragraph">
                  <wp:posOffset>-144780</wp:posOffset>
                </wp:positionV>
                <wp:extent cx="7447915" cy="7210425"/>
                <wp:effectExtent l="0" t="0" r="0" b="0"/>
                <wp:wrapSquare wrapText="largest"/>
                <wp:docPr id="26"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2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40"/>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de la norme Code QR.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7"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41"/>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42"/>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 QR.</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28"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color w:val="000000"/>
                              </w:rPr>
                              <w:drawing>
                                <wp:inline distT="0" distB="0" distL="0" distR="0">
                                  <wp:extent cx="4550410" cy="386651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43"/>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color w:val="000000"/>
                        </w:rPr>
                        <w:drawing>
                          <wp:inline distT="0" distB="0" distL="0" distR="0">
                            <wp:extent cx="4550410" cy="3866515"/>
                            <wp:effectExtent l="0" t="0" r="0" b="0"/>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44"/>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5"/>
      <w:footerReference w:type="first" r:id="rId46"/>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26621</TotalTime>
  <Application>LibreOffice/7.5.5.2$Linux_X86_64 LibreOffice_project/50$Build-2</Application>
  <AppVersion>15.0000</AppVersion>
  <Pages>44</Pages>
  <Words>10980</Words>
  <Characters>61355</Characters>
  <CharactersWithSpaces>71981</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2023-08-19T16:33:57Z</dcterms:modified>
  <cp:revision>151</cp:revision>
  <dc:subject/>
  <dc:title/>
</cp:coreProperties>
</file>

<file path=docProps/custom.xml><?xml version="1.0" encoding="utf-8"?>
<Properties xmlns="http://schemas.openxmlformats.org/officeDocument/2006/custom-properties" xmlns:vt="http://schemas.openxmlformats.org/officeDocument/2006/docPropsVTypes"/>
</file>